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Model Ordinance: High-Density Data Center Development &amp; Performance Standards</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Section 1: Purpose and Intent</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t xml:space="preserve">The purpose of this Ordinance is to establish comprehensive zoning, development, and operational standards for Data Centers. While recognizing data centers as vital infrastructure, this Ordinance seeks to safeguard public health, safety, and welfare by mitigating known adverse impacts related to acoustic pollution, heavy resource consumption, environmental degradation, and electrical grid instability.</w:t>
      </w:r>
    </w:p>
    <w:p w:rsidR="00000000" w:rsidDel="00000000" w:rsidP="00000000" w:rsidRDefault="00000000" w:rsidRPr="00000000" w14:paraId="00000004">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Section 2: Definitions</w:t>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Data Center:</w:t>
      </w:r>
      <w:r w:rsidDel="00000000" w:rsidR="00000000" w:rsidRPr="00000000">
        <w:rPr>
          <w:rtl w:val="0"/>
        </w:rPr>
        <w:t xml:space="preserve"> A facility primarily focused on housing electronic equipment (servers, switches, routers) used for data storage, processing, and management, alongside associated support systems like cooling, ventilation, and backup power.</w:t>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A-Weighted Decibel (dBA):</w:t>
      </w:r>
      <w:r w:rsidDel="00000000" w:rsidR="00000000" w:rsidRPr="00000000">
        <w:rPr>
          <w:rtl w:val="0"/>
        </w:rPr>
        <w:t xml:space="preserve"> A measurement of sound pressure that mimics how the human ear perceives loudness across different frequencies.</w:t>
      </w:r>
    </w:p>
    <w:p w:rsidR="00000000" w:rsidDel="00000000" w:rsidP="00000000" w:rsidRDefault="00000000" w:rsidRPr="00000000" w14:paraId="00000007">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C-Weighted Decibel (dBC):</w:t>
      </w:r>
      <w:r w:rsidDel="00000000" w:rsidR="00000000" w:rsidRPr="00000000">
        <w:rPr>
          <w:rtl w:val="0"/>
        </w:rPr>
        <w:t xml:space="preserve"> A measurement of sound pressure that captures low-frequency tones and vibrations, such as the bass hum of industrial fans and cooling units.</w:t>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Ambient Noise Level:</w:t>
      </w:r>
      <w:r w:rsidDel="00000000" w:rsidR="00000000" w:rsidRPr="00000000">
        <w:rPr>
          <w:rtl w:val="0"/>
        </w:rPr>
        <w:t xml:space="preserve"> The baseline background noise of a given area, measured in the absence of the data center's operations.</w:t>
      </w:r>
    </w:p>
    <w:p w:rsidR="00000000" w:rsidDel="00000000" w:rsidP="00000000" w:rsidRDefault="00000000" w:rsidRPr="00000000" w14:paraId="00000009">
      <w:pPr>
        <w:pStyle w:val="Heading2"/>
        <w:pBdr>
          <w:top w:space="0" w:sz="0" w:val="nil"/>
          <w:left w:space="0" w:sz="0" w:val="nil"/>
          <w:bottom w:space="0" w:sz="0" w:val="nil"/>
          <w:right w:space="0" w:sz="0" w:val="nil"/>
          <w:between w:space="0" w:sz="0" w:val="nil"/>
        </w:pBdr>
        <w:shd w:fill="auto" w:val="clear"/>
        <w:spacing w:after="240" w:lineRule="auto"/>
        <w:rPr/>
      </w:pPr>
      <w:r w:rsidDel="00000000" w:rsidR="00000000" w:rsidRPr="00000000">
        <w:rPr>
          <w:rtl w:val="0"/>
        </w:rPr>
        <w:t xml:space="preserve">Section 3: Performance Standards</w:t>
      </w:r>
    </w:p>
    <w:p w:rsidR="00000000" w:rsidDel="00000000" w:rsidP="00000000" w:rsidRDefault="00000000" w:rsidRPr="00000000" w14:paraId="0000000A">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 Acoustic Performance &amp; Noise Mitigation</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Data centers generate continuous, low-frequency sound from cooling fans, chillers, and backup generators that can severely disrupt human sleep, cause chronic stress, and disorient local wildlife.</w:t>
      </w:r>
    </w:p>
    <w:p w:rsidR="00000000" w:rsidDel="00000000" w:rsidP="00000000" w:rsidRDefault="00000000" w:rsidRPr="00000000" w14:paraId="0000000C">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Property Line Limitation:</w:t>
      </w:r>
      <w:r w:rsidDel="00000000" w:rsidR="00000000" w:rsidRPr="00000000">
        <w:rPr>
          <w:rtl w:val="0"/>
        </w:rPr>
        <w:t xml:space="preserve"> No data center facility, including its primary infrastructure, auxiliary cooling towers, and backup generators, shall emit noise that exceeds </w:t>
      </w:r>
      <w:r w:rsidDel="00000000" w:rsidR="00000000" w:rsidRPr="00000000">
        <w:rPr>
          <w:b w:val="1"/>
          <w:bCs w:val="1"/>
          <w:rtl w:val="0"/>
        </w:rPr>
        <w:t xml:space="preserve">the existing ambient noise level</w:t>
      </w:r>
      <w:r w:rsidDel="00000000" w:rsidR="00000000" w:rsidRPr="00000000">
        <w:rPr>
          <w:rtl w:val="0"/>
        </w:rPr>
        <w:t xml:space="preserve"> or </w:t>
      </w:r>
      <w:r w:rsidDel="00000000" w:rsidR="00000000" w:rsidRPr="00000000">
        <w:rPr>
          <w:b w:val="1"/>
          <w:bCs w:val="1"/>
          <w:rtl w:val="0"/>
        </w:rPr>
        <w:t xml:space="preserve">45 dBA during daytime (7:00 AM – 10:00 PM) / 40 dBA during nighttime (10:00 PM – 7:00 AM)</w:t>
      </w:r>
      <w:r w:rsidDel="00000000" w:rsidR="00000000" w:rsidRPr="00000000">
        <w:rPr>
          <w:rtl w:val="0"/>
        </w:rPr>
        <w:t xml:space="preserve">, whichever is </w:t>
      </w:r>
      <w:r w:rsidDel="00000000" w:rsidR="00000000" w:rsidRPr="00000000">
        <w:rPr>
          <w:i w:val="1"/>
          <w:iCs w:val="1"/>
          <w:rtl w:val="0"/>
        </w:rPr>
        <w:t xml:space="preserve">lower</w:t>
      </w:r>
      <w:r w:rsidDel="00000000" w:rsidR="00000000" w:rsidRPr="00000000">
        <w:rPr>
          <w:rtl w:val="0"/>
        </w:rPr>
        <w:t xml:space="preserve">, when measured at any point along the facility's property line.</w:t>
      </w:r>
    </w:p>
    <w:p w:rsidR="00000000" w:rsidDel="00000000" w:rsidP="00000000" w:rsidRDefault="00000000" w:rsidRPr="00000000" w14:paraId="0000000D">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Low-Frequency Restriction:</w:t>
      </w:r>
      <w:r w:rsidDel="00000000" w:rsidR="00000000" w:rsidRPr="00000000">
        <w:rPr>
          <w:rtl w:val="0"/>
        </w:rPr>
        <w:t xml:space="preserve"> To prevent structural vibrations and low-frequency humming, emissions must not exceed </w:t>
      </w:r>
      <w:r w:rsidDel="00000000" w:rsidR="00000000" w:rsidRPr="00000000">
        <w:rPr>
          <w:b w:val="1"/>
          <w:bCs w:val="1"/>
          <w:rtl w:val="0"/>
        </w:rPr>
        <w:t xml:space="preserve">55 dBC</w:t>
      </w:r>
      <w:r w:rsidDel="00000000" w:rsidR="00000000" w:rsidRPr="00000000">
        <w:rPr>
          <w:rtl w:val="0"/>
        </w:rPr>
        <w:t xml:space="preserve"> at the property line.</w:t>
      </w:r>
    </w:p>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Mandatory Enclosures:</w:t>
      </w:r>
      <w:r w:rsidDel="00000000" w:rsidR="00000000" w:rsidRPr="00000000">
        <w:rPr>
          <w:rtl w:val="0"/>
        </w:rPr>
        <w:t xml:space="preserve"> All mechanical cooling units, chillers, and backup generators must be housed within fully enclosed, acoustically dampened structures featuring sound baffles and silencers.</w:t>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Testing Requirements:</w:t>
      </w:r>
      <w:r w:rsidDel="00000000" w:rsidR="00000000" w:rsidRPr="00000000">
        <w:rPr>
          <w:rtl w:val="0"/>
        </w:rPr>
        <w:t xml:space="preserve"> Sound levels must be certified by an independent acoustical engineer before operations begin, and re-tested annually during peak summer cooling loads.</w:t>
      </w:r>
    </w:p>
    <w:p w:rsidR="00000000" w:rsidDel="00000000" w:rsidP="00000000" w:rsidRDefault="00000000" w:rsidRPr="00000000" w14:paraId="00000010">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 Water Resource Protection &amp; Waste Management</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Liquid cooling loops and evaporative chillers can drain millions of gallons of municipal water daily and discharge chemical-laden wastewater (blowdown water) back into local systems.</w:t>
      </w:r>
    </w:p>
    <w:p w:rsidR="00000000" w:rsidDel="00000000" w:rsidP="00000000" w:rsidRDefault="00000000" w:rsidRPr="00000000" w14:paraId="00000012">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Cooling Technology Hierarchy:</w:t>
      </w:r>
      <w:r w:rsidDel="00000000" w:rsidR="00000000" w:rsidRPr="00000000">
        <w:rPr>
          <w:rtl w:val="0"/>
        </w:rPr>
        <w:t xml:space="preserve"> Traditional "once-through" or high-evaporative wet cooling systems are prohibited. Applicants must utilize closed-loop air cooling, direct-to-chip liquid cooling, or immersion cooling systems that minimize net water consumption.</w:t>
      </w:r>
    </w:p>
    <w:p w:rsidR="00000000" w:rsidDel="00000000" w:rsidP="00000000" w:rsidRDefault="00000000" w:rsidRPr="00000000" w14:paraId="00000013">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Source Restrictions:</w:t>
      </w:r>
      <w:r w:rsidDel="00000000" w:rsidR="00000000" w:rsidRPr="00000000">
        <w:rPr>
          <w:rtl w:val="0"/>
        </w:rPr>
        <w:t xml:space="preserve"> Data centers requiring more than 10,000 gallons of water per day must secure an independent, non-potable water source (e.g., recycled graywater or treated effluent) so they do not compete with residential drinking water supplies.</w:t>
      </w:r>
    </w:p>
    <w:p w:rsidR="00000000" w:rsidDel="00000000" w:rsidP="00000000" w:rsidRDefault="00000000" w:rsidRPr="00000000" w14:paraId="00000014">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Wastewater Treatment &amp; Blowdown Control:</w:t>
      </w:r>
      <w:r w:rsidDel="00000000" w:rsidR="00000000" w:rsidRPr="00000000">
        <w:rPr>
          <w:rtl w:val="0"/>
        </w:rPr>
        <w:t xml:space="preserve"> All cooling water discharge must be treated on-site to remove concentrated anti-scaling chemicals, biocides, and heavy metals. No water may be released into the municipal sewer or local watersheds until it meets federal and state clean water standards for temperature, pH, and chemical content.</w:t>
      </w:r>
    </w:p>
    <w:p w:rsidR="00000000" w:rsidDel="00000000" w:rsidP="00000000" w:rsidRDefault="00000000" w:rsidRPr="00000000" w14:paraId="00000015">
      <w:pPr>
        <w:numPr>
          <w:ilvl w:val="0"/>
          <w:numId w:val="3"/>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Hazardous Waste Disposal:</w:t>
      </w:r>
      <w:r w:rsidDel="00000000" w:rsidR="00000000" w:rsidRPr="00000000">
        <w:rPr>
          <w:rtl w:val="0"/>
        </w:rPr>
        <w:t xml:space="preserve"> Sludge, filtration cakes, and chemical waste generated by the cooling system's purification processes must be handled as hazardous materials and disposed of at certified off-site facilities.</w:t>
      </w:r>
    </w:p>
    <w:p w:rsidR="00000000" w:rsidDel="00000000" w:rsidP="00000000" w:rsidRDefault="00000000" w:rsidRPr="00000000" w14:paraId="00000016">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 Power Sustainability &amp; Grid Protection</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Data centers place unprecedented strain on regional electrical grids, which can trigger blackouts or force utility companies to hike electricity rates for everyday consumers.</w:t>
      </w:r>
    </w:p>
    <w:p w:rsidR="00000000" w:rsidDel="00000000" w:rsidP="00000000" w:rsidRDefault="00000000" w:rsidRPr="00000000" w14:paraId="00000018">
      <w:pPr>
        <w:numPr>
          <w:ilvl w:val="0"/>
          <w:numId w:val="4"/>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Grid Impact Assessment:</w:t>
      </w:r>
      <w:r w:rsidDel="00000000" w:rsidR="00000000" w:rsidRPr="00000000">
        <w:rPr>
          <w:rtl w:val="0"/>
        </w:rPr>
        <w:t xml:space="preserve"> Every applicant must submit a Grid Load and Cost Impact Analysis certified by the local electrical utility provider. This analysis must prove that the data center’s power draw will not reduce grid reliability for residential consumers or trigger local utility rate increases.</w:t>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Self-Sustenance &amp; Renewable Offsets:</w:t>
      </w:r>
      <w:r w:rsidDel="00000000" w:rsidR="00000000" w:rsidRPr="00000000">
        <w:rPr>
          <w:rtl w:val="0"/>
        </w:rPr>
        <w:t xml:space="preserve"> Data centers must secure 100% of their power from newly constructed, dedicated renewable energy sources (co-located solar, wind, or battery storage), or participate in Power Purchase Agreements (PPAs) that bring new clean energy online to match their exact draw.</w:t>
      </w:r>
    </w:p>
    <w:p w:rsidR="00000000" w:rsidDel="00000000" w:rsidP="00000000" w:rsidRDefault="00000000" w:rsidRPr="00000000" w14:paraId="0000001A">
      <w:pPr>
        <w:numPr>
          <w:ilvl w:val="0"/>
          <w:numId w:val="4"/>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Emergency Generation:</w:t>
      </w:r>
      <w:r w:rsidDel="00000000" w:rsidR="00000000" w:rsidRPr="00000000">
        <w:rPr>
          <w:rtl w:val="0"/>
        </w:rPr>
        <w:t xml:space="preserve"> Backup diesel generators may only be operated for emergency power failures and mandatory monthly testing. Testing is prohibited during nighttime hours or high-smog alert days. Facilities must transition to clean backup alternatives (e.g., green hydrogen fuel cells or large-scale utility batteries) within five years of ordinance adoption.</w:t>
      </w:r>
    </w:p>
    <w:p w:rsidR="00000000" w:rsidDel="00000000" w:rsidP="00000000" w:rsidRDefault="00000000" w:rsidRPr="00000000" w14:paraId="0000001B">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Section 4: Landscaping, Greenspace, and Microclimate Management</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rtl w:val="0"/>
        </w:rPr>
        <w:t xml:space="preserve">Massive industrial building footprints, extensive asphalt parking, and concentrated heat output from server exhaust create severe localized "heat island" effects. Furthermore, hard concrete surfaces reflect and amplify acoustic waves. The following vegetative and spatial requirements are mandatory to absorb sound energy, lower ambient temperatures, and visually screen the facility.</w:t>
      </w:r>
    </w:p>
    <w:p w:rsidR="00000000" w:rsidDel="00000000" w:rsidP="00000000" w:rsidRDefault="00000000" w:rsidRPr="00000000" w14:paraId="0000001D">
      <w:pPr>
        <w:pStyle w:val="Heading3"/>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A. Minimum Greenspace Allocation</w:t>
      </w:r>
    </w:p>
    <w:p w:rsidR="00000000" w:rsidDel="00000000" w:rsidP="00000000" w:rsidRDefault="00000000" w:rsidRPr="00000000" w14:paraId="0000001E">
      <w:pPr>
        <w:numPr>
          <w:ilvl w:val="0"/>
          <w:numId w:val="5"/>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Total Site Greenspace:</w:t>
      </w:r>
      <w:r w:rsidDel="00000000" w:rsidR="00000000" w:rsidRPr="00000000">
        <w:rPr>
          <w:rtl w:val="0"/>
        </w:rPr>
        <w:t xml:space="preserve"> A minimum of </w:t>
      </w:r>
      <w:r w:rsidDel="00000000" w:rsidR="00000000" w:rsidRPr="00000000">
        <w:rPr>
          <w:b w:val="1"/>
          <w:bCs w:val="1"/>
          <w:rtl w:val="0"/>
        </w:rPr>
        <w:t xml:space="preserve">40% of the total raw acreage</w:t>
      </w:r>
      <w:r w:rsidDel="00000000" w:rsidR="00000000" w:rsidRPr="00000000">
        <w:rPr>
          <w:rtl w:val="0"/>
        </w:rPr>
        <w:t xml:space="preserve"> of the data center parcel must be preserved or developed as continuous, unpaved greenspace featuring live vegetative cover (grass, native ground cover, shrubs, and trees).</w:t>
      </w:r>
    </w:p>
    <w:p w:rsidR="00000000" w:rsidDel="00000000" w:rsidP="00000000" w:rsidRDefault="00000000" w:rsidRPr="00000000" w14:paraId="0000001F">
      <w:pPr>
        <w:numPr>
          <w:ilvl w:val="0"/>
          <w:numId w:val="5"/>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Impervious Surface Cap:</w:t>
      </w:r>
      <w:r w:rsidDel="00000000" w:rsidR="00000000" w:rsidRPr="00000000">
        <w:rPr>
          <w:rtl w:val="0"/>
        </w:rPr>
        <w:t xml:space="preserve"> Total combined coverage of buildings, substations, accessory structures, and asphalt/concrete pavement shall not exceed 60% of the lot area.</w:t>
      </w:r>
    </w:p>
    <w:p w:rsidR="00000000" w:rsidDel="00000000" w:rsidP="00000000" w:rsidRDefault="00000000" w:rsidRPr="00000000" w14:paraId="00000020">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 Continuous Perimeter Eco-Buffer (Acoustic &amp; Thermal Shield)</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continuous, uninterrupted vegetative buffer strip with a minimum width of </w:t>
      </w:r>
      <w:r w:rsidDel="00000000" w:rsidR="00000000" w:rsidRPr="00000000">
        <w:rPr>
          <w:b w:val="1"/>
          <w:bCs w:val="1"/>
          <w:rtl w:val="0"/>
        </w:rPr>
        <w:t xml:space="preserve">50 feet</w:t>
      </w:r>
      <w:r w:rsidDel="00000000" w:rsidR="00000000" w:rsidRPr="00000000">
        <w:rPr>
          <w:rtl w:val="0"/>
        </w:rPr>
        <w:t xml:space="preserve"> must be established and permanently maintained along the </w:t>
      </w:r>
      <w:r w:rsidDel="00000000" w:rsidR="00000000" w:rsidRPr="00000000">
        <w:rPr>
          <w:i w:val="1"/>
          <w:iCs w:val="1"/>
          <w:rtl w:val="0"/>
        </w:rPr>
        <w:t xml:space="preserve">entire</w:t>
      </w:r>
      <w:r w:rsidDel="00000000" w:rsidR="00000000" w:rsidRPr="00000000">
        <w:rPr>
          <w:rtl w:val="0"/>
        </w:rPr>
        <w:t xml:space="preserve"> perimeter of the property line. This buffer must fulfill the following structural criteria:</w:t>
      </w:r>
    </w:p>
    <w:p w:rsidR="00000000" w:rsidDel="00000000" w:rsidP="00000000" w:rsidRDefault="00000000" w:rsidRPr="00000000" w14:paraId="00000022">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Dense, Multi-Tiered Canopy:</w:t>
      </w:r>
      <w:r w:rsidDel="00000000" w:rsidR="00000000" w:rsidRPr="00000000">
        <w:rPr>
          <w:rtl w:val="0"/>
        </w:rPr>
        <w:t xml:space="preserve"> For every 100 linear feet of property boundary, the buffer must contain a minimum of:</w:t>
      </w:r>
    </w:p>
    <w:p w:rsidR="00000000" w:rsidDel="00000000" w:rsidP="00000000" w:rsidRDefault="00000000" w:rsidRPr="00000000" w14:paraId="00000023">
      <w:pPr>
        <w:numPr>
          <w:ilvl w:val="1"/>
          <w:numId w:val="7"/>
        </w:numPr>
        <w:pBdr>
          <w:top w:space="0" w:sz="0" w:val="nil"/>
          <w:left w:space="0" w:sz="0" w:val="nil"/>
          <w:bottom w:space="0" w:sz="0" w:val="nil"/>
          <w:right w:space="0" w:sz="0" w:val="nil"/>
          <w:between w:space="0" w:sz="0" w:val="nil"/>
        </w:pBdr>
        <w:shd w:fill="auto" w:val="clear"/>
        <w:ind w:left="1200" w:hanging="360"/>
      </w:pPr>
      <w:r w:rsidDel="00000000" w:rsidR="00000000" w:rsidRPr="00000000">
        <w:rPr>
          <w:b w:val="1"/>
          <w:bCs w:val="1"/>
          <w:rtl w:val="0"/>
        </w:rPr>
        <w:t xml:space="preserve">12 Large Canopy Trees</w:t>
      </w:r>
      <w:r w:rsidDel="00000000" w:rsidR="00000000" w:rsidRPr="00000000">
        <w:rPr>
          <w:rtl w:val="0"/>
        </w:rPr>
        <w:t xml:space="preserve"> (minimum 2.5-inch caliper at planting, capable of reaching over 50 feet in height at maturity).</w:t>
      </w:r>
    </w:p>
    <w:p w:rsidR="00000000" w:rsidDel="00000000" w:rsidP="00000000" w:rsidRDefault="00000000" w:rsidRPr="00000000" w14:paraId="00000024">
      <w:pPr>
        <w:numPr>
          <w:ilvl w:val="1"/>
          <w:numId w:val="7"/>
        </w:numPr>
        <w:pBdr>
          <w:top w:space="0" w:sz="0" w:val="nil"/>
          <w:left w:space="0" w:sz="0" w:val="nil"/>
          <w:bottom w:space="0" w:sz="0" w:val="nil"/>
          <w:right w:space="0" w:sz="0" w:val="nil"/>
          <w:between w:space="0" w:sz="0" w:val="nil"/>
        </w:pBdr>
        <w:shd w:fill="auto" w:val="clear"/>
        <w:ind w:left="1200" w:hanging="360"/>
      </w:pPr>
      <w:r w:rsidDel="00000000" w:rsidR="00000000" w:rsidRPr="00000000">
        <w:rPr>
          <w:b w:val="1"/>
          <w:bCs w:val="1"/>
          <w:rtl w:val="0"/>
        </w:rPr>
        <w:t xml:space="preserve">8 Understory/Evergreen Trees</w:t>
      </w:r>
      <w:r w:rsidDel="00000000" w:rsidR="00000000" w:rsidRPr="00000000">
        <w:rPr>
          <w:rtl w:val="0"/>
        </w:rPr>
        <w:t xml:space="preserve"> (minimum 6 feet tall at planting).</w:t>
      </w:r>
    </w:p>
    <w:p w:rsidR="00000000" w:rsidDel="00000000" w:rsidP="00000000" w:rsidRDefault="00000000" w:rsidRPr="00000000" w14:paraId="00000025">
      <w:pPr>
        <w:numPr>
          <w:ilvl w:val="1"/>
          <w:numId w:val="7"/>
        </w:numPr>
        <w:pBdr>
          <w:top w:space="0" w:sz="0" w:val="nil"/>
          <w:left w:space="0" w:sz="0" w:val="nil"/>
          <w:bottom w:space="0" w:sz="0" w:val="nil"/>
          <w:right w:space="0" w:sz="0" w:val="nil"/>
          <w:between w:space="0" w:sz="0" w:val="nil"/>
        </w:pBdr>
        <w:shd w:fill="auto" w:val="clear"/>
        <w:ind w:left="1200" w:hanging="360"/>
      </w:pPr>
      <w:r w:rsidDel="00000000" w:rsidR="00000000" w:rsidRPr="00000000">
        <w:rPr>
          <w:b w:val="1"/>
          <w:bCs w:val="1"/>
          <w:rtl w:val="0"/>
        </w:rPr>
        <w:t xml:space="preserve">20 Dense Shrubs</w:t>
      </w:r>
      <w:r w:rsidDel="00000000" w:rsidR="00000000" w:rsidRPr="00000000">
        <w:rPr>
          <w:rtl w:val="0"/>
        </w:rPr>
        <w:t xml:space="preserve"> (capable of forming a solid hedge at least 6 to 8 feet high within three years).</w:t>
      </w:r>
    </w:p>
    <w:p w:rsidR="00000000" w:rsidDel="00000000" w:rsidP="00000000" w:rsidRDefault="00000000" w:rsidRPr="00000000" w14:paraId="00000026">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Strategic Species Selection:</w:t>
      </w:r>
      <w:r w:rsidDel="00000000" w:rsidR="00000000" w:rsidRPr="00000000">
        <w:rPr>
          <w:rtl w:val="0"/>
        </w:rPr>
        <w:t xml:space="preserve"> Plantings must consist of native, drought-tolerant species proven to maximize acoustic dampening (via dense, coarse foliage and year-round leaf retention) and thermal cooling (via high transpiration rates and dense canopy shade).</w:t>
      </w:r>
    </w:p>
    <w:p w:rsidR="00000000" w:rsidDel="00000000" w:rsidP="00000000" w:rsidRDefault="00000000" w:rsidRPr="00000000" w14:paraId="00000027">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 Approved Species Matrix</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 ensure maximum performance, plantings must be selected from the following functional categories:</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Target Benefit</w:t>
            </w:r>
          </w:p>
        </w:tc>
        <w:tc>
          <w:tcPr>
            <w:shd w:fill="auto" w:val="clear"/>
            <w:tcMar>
              <w:top w:w="0.0" w:type="dxa"/>
              <w:left w:w="0.0" w:type="dxa"/>
              <w:bottom w:w="0.0" w:type="dxa"/>
              <w:right w:w="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Recommended Genera / Species</w:t>
            </w:r>
          </w:p>
        </w:tc>
        <w:tc>
          <w:tcPr>
            <w:shd w:fill="auto" w:val="clear"/>
            <w:tcMar>
              <w:top w:w="0.0" w:type="dxa"/>
              <w:left w:w="0.0" w:type="dxa"/>
              <w:bottom w:w="0.0" w:type="dxa"/>
              <w:right w:w="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Functional Performance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Primary Sound Absorption</w:t>
            </w:r>
          </w:p>
        </w:tc>
        <w:tc>
          <w:tcPr>
            <w:shd w:fill="auto" w:val="clear"/>
            <w:tcMar>
              <w:top w:w="0.0" w:type="dxa"/>
              <w:left w:w="0.0" w:type="dxa"/>
              <w:bottom w:w="0.0" w:type="dxa"/>
              <w:right w:w="0.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rPr/>
            </w:pPr>
            <w:r w:rsidDel="00000000" w:rsidR="00000000" w:rsidRPr="00000000">
              <w:rPr>
                <w:i w:val="1"/>
                <w:iCs w:val="1"/>
                <w:rtl w:val="0"/>
              </w:rPr>
              <w:t xml:space="preserve">Thuja occidentalis</w:t>
            </w:r>
            <w:r w:rsidDel="00000000" w:rsidR="00000000" w:rsidRPr="00000000">
              <w:rPr>
                <w:rtl w:val="0"/>
              </w:rPr>
              <w:t xml:space="preserve"> (Arborvitae), </w:t>
            </w:r>
            <w:r w:rsidDel="00000000" w:rsidR="00000000" w:rsidRPr="00000000">
              <w:rPr>
                <w:i w:val="1"/>
                <w:iCs w:val="1"/>
                <w:rtl w:val="0"/>
              </w:rPr>
              <w:t xml:space="preserve">Juniperus virginiana</w:t>
            </w:r>
            <w:r w:rsidDel="00000000" w:rsidR="00000000" w:rsidRPr="00000000">
              <w:rPr>
                <w:rtl w:val="0"/>
              </w:rPr>
              <w:t xml:space="preserve"> (Eastern Red Cedar), </w:t>
            </w:r>
            <w:r w:rsidDel="00000000" w:rsidR="00000000" w:rsidRPr="00000000">
              <w:rPr>
                <w:i w:val="1"/>
                <w:iCs w:val="1"/>
                <w:rtl w:val="0"/>
              </w:rPr>
              <w:t xml:space="preserve">Pinus strobus</w:t>
            </w:r>
            <w:r w:rsidDel="00000000" w:rsidR="00000000" w:rsidRPr="00000000">
              <w:rPr>
                <w:rtl w:val="0"/>
              </w:rPr>
              <w:t xml:space="preserve"> (Eastern White Pine)</w:t>
            </w:r>
          </w:p>
        </w:tc>
        <w:tc>
          <w:tcPr>
            <w:shd w:fill="auto" w:val="clear"/>
            <w:tcMar>
              <w:top w:w="0.0" w:type="dxa"/>
              <w:left w:w="0.0" w:type="dxa"/>
              <w:bottom w:w="0.0" w:type="dxa"/>
              <w:right w:w="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Dense, year-round, low-to-ground evergreen foliage that scatters high-frequency fan whines and breaks up directional sound waves.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Maximum Microclimate Cooling</w:t>
            </w:r>
          </w:p>
        </w:tc>
        <w:tc>
          <w:tcPr>
            <w:shd w:fill="auto" w:val="clear"/>
            <w:tcMar>
              <w:top w:w="0.0" w:type="dxa"/>
              <w:left w:w="0.0" w:type="dxa"/>
              <w:bottom w:w="0.0" w:type="dxa"/>
              <w:right w:w="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rPr/>
            </w:pPr>
            <w:r w:rsidDel="00000000" w:rsidR="00000000" w:rsidRPr="00000000">
              <w:rPr>
                <w:i w:val="1"/>
                <w:iCs w:val="1"/>
                <w:rtl w:val="0"/>
              </w:rPr>
              <w:t xml:space="preserve">Quercus alba / rubra</w:t>
            </w:r>
            <w:r w:rsidDel="00000000" w:rsidR="00000000" w:rsidRPr="00000000">
              <w:rPr>
                <w:rtl w:val="0"/>
              </w:rPr>
              <w:t xml:space="preserve"> (White/Red Oak), </w:t>
            </w:r>
            <w:r w:rsidDel="00000000" w:rsidR="00000000" w:rsidRPr="00000000">
              <w:rPr>
                <w:i w:val="1"/>
                <w:iCs w:val="1"/>
                <w:rtl w:val="0"/>
              </w:rPr>
              <w:t xml:space="preserve">Acer saccharum</w:t>
            </w:r>
            <w:r w:rsidDel="00000000" w:rsidR="00000000" w:rsidRPr="00000000">
              <w:rPr>
                <w:rtl w:val="0"/>
              </w:rPr>
              <w:t xml:space="preserve"> (Sugar Maple), </w:t>
            </w:r>
            <w:r w:rsidDel="00000000" w:rsidR="00000000" w:rsidRPr="00000000">
              <w:rPr>
                <w:i w:val="1"/>
                <w:iCs w:val="1"/>
                <w:rtl w:val="0"/>
              </w:rPr>
              <w:t xml:space="preserve">Platanus occidentalis</w:t>
            </w:r>
            <w:r w:rsidDel="00000000" w:rsidR="00000000" w:rsidRPr="00000000">
              <w:rPr>
                <w:rtl w:val="0"/>
              </w:rPr>
              <w:t xml:space="preserve"> (American Sycamore)</w:t>
            </w:r>
          </w:p>
        </w:tc>
        <w:tc>
          <w:tcPr>
            <w:shd w:fill="auto" w:val="clear"/>
            <w:tcMar>
              <w:top w:w="0.0" w:type="dxa"/>
              <w:left w:w="0.0" w:type="dxa"/>
              <w:bottom w:w="0.0" w:type="dxa"/>
              <w:right w:w="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Broad leaves with high evapotranspiration rates that actively strip heat from the air while casting massive shadows over concrete pads.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Understory Density</w:t>
            </w:r>
          </w:p>
        </w:tc>
        <w:tc>
          <w:tcPr>
            <w:shd w:fill="auto" w:val="clear"/>
            <w:tcMar>
              <w:top w:w="0.0" w:type="dxa"/>
              <w:left w:w="0.0" w:type="dxa"/>
              <w:bottom w:w="0.0" w:type="dxa"/>
              <w:right w:w="0.0" w:type="dxa"/>
            </w:tcMar>
            <w:vAlign w:val="top"/>
          </w:tcPr>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rPr/>
            </w:pPr>
            <w:r w:rsidDel="00000000" w:rsidR="00000000" w:rsidRPr="00000000">
              <w:rPr>
                <w:i w:val="1"/>
                <w:iCs w:val="1"/>
                <w:rtl w:val="0"/>
              </w:rPr>
              <w:t xml:space="preserve">Ilex opaca</w:t>
            </w:r>
            <w:r w:rsidDel="00000000" w:rsidR="00000000" w:rsidRPr="00000000">
              <w:rPr>
                <w:rtl w:val="0"/>
              </w:rPr>
              <w:t xml:space="preserve"> (American Holly), </w:t>
            </w:r>
            <w:r w:rsidDel="00000000" w:rsidR="00000000" w:rsidRPr="00000000">
              <w:rPr>
                <w:i w:val="1"/>
                <w:iCs w:val="1"/>
                <w:rtl w:val="0"/>
              </w:rPr>
              <w:t xml:space="preserve">Viburnum dentatum</w:t>
            </w:r>
            <w:r w:rsidDel="00000000" w:rsidR="00000000" w:rsidRPr="00000000">
              <w:rPr>
                <w:rtl w:val="0"/>
              </w:rPr>
              <w:t xml:space="preserve"> (Arrowwood), </w:t>
            </w:r>
            <w:r w:rsidDel="00000000" w:rsidR="00000000" w:rsidRPr="00000000">
              <w:rPr>
                <w:i w:val="1"/>
                <w:iCs w:val="1"/>
                <w:rtl w:val="0"/>
              </w:rPr>
              <w:t xml:space="preserve">Prunus caroliniana</w:t>
            </w:r>
            <w:r w:rsidDel="00000000" w:rsidR="00000000" w:rsidRPr="00000000">
              <w:rPr>
                <w:rtl w:val="0"/>
              </w:rPr>
              <w:t xml:space="preserve"> (Carolina Laurel)</w:t>
            </w:r>
          </w:p>
        </w:tc>
        <w:tc>
          <w:tcPr>
            <w:shd w:fill="auto" w:val="clear"/>
            <w:tcMar>
              <w:top w:w="0.0" w:type="dxa"/>
              <w:left w:w="0.0" w:type="dxa"/>
              <w:bottom w:w="0.0" w:type="dxa"/>
              <w:right w:w="0.0" w:type="dxa"/>
            </w:tcMar>
            <w:vAlign w:val="top"/>
          </w:tcPr>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Fills the lower 6-to-15-foot vertical gap beneath large trees, preventing sound from traveling cleanly underneath the forest canopy.</w:t>
            </w:r>
          </w:p>
        </w:tc>
      </w:tr>
    </w:tbl>
    <w:p w:rsidR="00000000" w:rsidDel="00000000" w:rsidP="00000000" w:rsidRDefault="00000000" w:rsidRPr="00000000" w14:paraId="00000035">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 Maintenance and Survivability</w:t>
      </w:r>
    </w:p>
    <w:p w:rsidR="00000000" w:rsidDel="00000000" w:rsidP="00000000" w:rsidRDefault="00000000" w:rsidRPr="00000000" w14:paraId="00000036">
      <w:pPr>
        <w:numPr>
          <w:ilvl w:val="0"/>
          <w:numId w:val="8"/>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Irrigation and Soil Health:</w:t>
      </w:r>
      <w:r w:rsidDel="00000000" w:rsidR="00000000" w:rsidRPr="00000000">
        <w:rPr>
          <w:rtl w:val="0"/>
        </w:rPr>
        <w:t xml:space="preserve"> The developer must install a smart, moisture-sensing drip irrigation system utilizing recycled graywater or harvested rainwater (potable water use for landscaping is prohibited).</w:t>
      </w:r>
    </w:p>
    <w:p w:rsidR="00000000" w:rsidDel="00000000" w:rsidP="00000000" w:rsidRDefault="00000000" w:rsidRPr="00000000" w14:paraId="00000037">
      <w:pPr>
        <w:numPr>
          <w:ilvl w:val="0"/>
          <w:numId w:val="8"/>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Lifetime Replacement Guarantee:</w:t>
      </w:r>
      <w:r w:rsidDel="00000000" w:rsidR="00000000" w:rsidRPr="00000000">
        <w:rPr>
          <w:rtl w:val="0"/>
        </w:rPr>
        <w:t xml:space="preserve"> The data center operator is legally responsible for the health of the perimeter buffer. Any tree or shrub that dies, becomes diseased, or is damaged must be replaced with a specimen of equal size and functional capability within 60 days of a code enforcement notice.</w:t>
      </w:r>
    </w:p>
    <w:p w:rsidR="00000000" w:rsidDel="00000000" w:rsidP="00000000" w:rsidRDefault="00000000" w:rsidRPr="00000000" w14:paraId="00000038">
      <w:pPr>
        <w:pStyle w:val="Heading3"/>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 Eco-Roofing &amp; Albedo Standards</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255" w:lineRule="auto"/>
        <w:rPr/>
      </w:pPr>
      <w:r w:rsidDel="00000000" w:rsidR="00000000" w:rsidRPr="00000000">
        <w:rPr>
          <w:rtl w:val="0"/>
        </w:rPr>
        <w:t xml:space="preserve">Data center roofs often span hundreds of thousands of square feet. Left unregulated, standard dark roofing materials absorb intense solar radiation, creating a thermal mass that elevates local microclimate temperatures and forces cooling systems to work harder. All primary data center structures and auxiliary buildings must comply with one of the two following roofing frameworks, or a combination thereof:</w:t>
      </w:r>
    </w:p>
    <w:p w:rsidR="00000000" w:rsidDel="00000000" w:rsidP="00000000" w:rsidRDefault="00000000" w:rsidRPr="00000000" w14:paraId="0000003A">
      <w:pPr>
        <w:pStyle w:val="Heading4"/>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Option 1: High-Albedo "Cool Roof" Technology</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Every flat or low-sloped roof area not dedicated to solar arrays or mechanical equipment must utilize a certified Cool Roof system designed to reflect sunlight and emit absorbed heat.</w:t>
      </w:r>
    </w:p>
    <w:p w:rsidR="00000000" w:rsidDel="00000000" w:rsidP="00000000" w:rsidRDefault="00000000" w:rsidRPr="00000000" w14:paraId="0000003C">
      <w:pPr>
        <w:numPr>
          <w:ilvl w:val="0"/>
          <w:numId w:val="9"/>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Reflectance and Emittance Metrics:</w:t>
      </w:r>
      <w:r w:rsidDel="00000000" w:rsidR="00000000" w:rsidRPr="00000000">
        <w:rPr>
          <w:rtl w:val="0"/>
        </w:rPr>
        <w:t xml:space="preserve"> Roofing materials must meet or exceed a </w:t>
      </w:r>
      <w:r w:rsidDel="00000000" w:rsidR="00000000" w:rsidRPr="00000000">
        <w:rPr>
          <w:b w:val="1"/>
          <w:bCs w:val="1"/>
          <w:rtl w:val="0"/>
        </w:rPr>
        <w:t xml:space="preserve">Solar Reflectance Index (SRI) of 82</w:t>
      </w:r>
      <w:r w:rsidDel="00000000" w:rsidR="00000000" w:rsidRPr="00000000">
        <w:rPr>
          <w:rtl w:val="0"/>
        </w:rPr>
        <w:t xml:space="preserve"> for low-sloped roofs (less than or equal to a 2:12 pitch) or an </w:t>
      </w:r>
      <w:r w:rsidDel="00000000" w:rsidR="00000000" w:rsidRPr="00000000">
        <w:rPr>
          <w:b w:val="1"/>
          <w:bCs w:val="1"/>
          <w:rtl w:val="0"/>
        </w:rPr>
        <w:t xml:space="preserve">SRI of 39</w:t>
      </w:r>
      <w:r w:rsidDel="00000000" w:rsidR="00000000" w:rsidRPr="00000000">
        <w:rPr>
          <w:rtl w:val="0"/>
        </w:rPr>
        <w:t xml:space="preserve"> for steep-sloped roofs, as certified by the Cool Roof Rating Council (CRRC).</w:t>
      </w:r>
    </w:p>
    <w:p w:rsidR="00000000" w:rsidDel="00000000" w:rsidP="00000000" w:rsidRDefault="00000000" w:rsidRPr="00000000" w14:paraId="0000003D">
      <w:pPr>
        <w:numPr>
          <w:ilvl w:val="0"/>
          <w:numId w:val="9"/>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Product Standards:</w:t>
      </w:r>
      <w:r w:rsidDel="00000000" w:rsidR="00000000" w:rsidRPr="00000000">
        <w:rPr>
          <w:rtl w:val="0"/>
        </w:rPr>
        <w:t xml:space="preserve"> Acceptable materials include highly reflective single-ply thermoplastic membranes (such as white TPO or PVC), liquid-applied elastomeric coatings, or factory-coated metal panels.</w:t>
      </w:r>
    </w:p>
    <w:p w:rsidR="00000000" w:rsidDel="00000000" w:rsidP="00000000" w:rsidRDefault="00000000" w:rsidRPr="00000000" w14:paraId="0000003E">
      <w:pPr>
        <w:numPr>
          <w:ilvl w:val="0"/>
          <w:numId w:val="9"/>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Maintenance of Reflectivity:</w:t>
      </w:r>
      <w:r w:rsidDel="00000000" w:rsidR="00000000" w:rsidRPr="00000000">
        <w:rPr>
          <w:rtl w:val="0"/>
        </w:rPr>
        <w:t xml:space="preserve"> Roof surfaces must be washed and cleared of dirt and biological growth at least once every 24 months to ensure the material retains its minimum solar reflectance over time.</w:t>
      </w:r>
    </w:p>
    <w:p w:rsidR="00000000" w:rsidDel="00000000" w:rsidP="00000000" w:rsidRDefault="00000000" w:rsidRPr="00000000" w14:paraId="0000003F">
      <w:pPr>
        <w:pStyle w:val="Heading4"/>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Option 2: Extensive Vegetative "Green Roof" System</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 maximize biodiversity, stormwater retention, and thermal insulation, developers may opt for a partial or full vegetative roof system.</w:t>
      </w:r>
    </w:p>
    <w:p w:rsidR="00000000" w:rsidDel="00000000" w:rsidP="00000000" w:rsidRDefault="00000000" w:rsidRPr="00000000" w14:paraId="00000041">
      <w:pPr>
        <w:numPr>
          <w:ilvl w:val="0"/>
          <w:numId w:val="10"/>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Coverage Requirements:</w:t>
      </w:r>
      <w:r w:rsidDel="00000000" w:rsidR="00000000" w:rsidRPr="00000000">
        <w:rPr>
          <w:rtl w:val="0"/>
        </w:rPr>
        <w:t xml:space="preserve"> A minimum of </w:t>
      </w:r>
      <w:r w:rsidDel="00000000" w:rsidR="00000000" w:rsidRPr="00000000">
        <w:rPr>
          <w:b w:val="1"/>
          <w:bCs w:val="1"/>
          <w:rtl w:val="0"/>
        </w:rPr>
        <w:t xml:space="preserve">50% of the total roof surface area</w:t>
      </w:r>
      <w:r w:rsidDel="00000000" w:rsidR="00000000" w:rsidRPr="00000000">
        <w:rPr>
          <w:rtl w:val="0"/>
        </w:rPr>
        <w:t xml:space="preserve"> (excluding space required for structural walkways, safety clear-zones, and specialized mechanical venting) must be covered with a live, self-sustaining plant canopy.</w:t>
      </w:r>
    </w:p>
    <w:p w:rsidR="00000000" w:rsidDel="00000000" w:rsidP="00000000" w:rsidRDefault="00000000" w:rsidRPr="00000000" w14:paraId="00000042">
      <w:pPr>
        <w:numPr>
          <w:ilvl w:val="0"/>
          <w:numId w:val="10"/>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Structural Integrity:</w:t>
      </w:r>
      <w:r w:rsidDel="00000000" w:rsidR="00000000" w:rsidRPr="00000000">
        <w:rPr>
          <w:rtl w:val="0"/>
        </w:rPr>
        <w:t xml:space="preserve"> The facility’s structural design must be certified by a licensed structural engineer to safely support the saturated dead load of the green roof assembly, including soil media, drainage layers, and vegetation.</w:t>
      </w:r>
    </w:p>
    <w:p w:rsidR="00000000" w:rsidDel="00000000" w:rsidP="00000000" w:rsidRDefault="00000000" w:rsidRPr="00000000" w14:paraId="00000043">
      <w:pPr>
        <w:numPr>
          <w:ilvl w:val="0"/>
          <w:numId w:val="10"/>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Vegetation and Media Selection:</w:t>
      </w:r>
      <w:r w:rsidDel="00000000" w:rsidR="00000000" w:rsidRPr="00000000">
        <w:rPr>
          <w:rtl w:val="0"/>
        </w:rPr>
        <w:t xml:space="preserve"> The growth medium must be an engineered lightweight soil mix between 3 to 6 inches deep. Vegetation must consist of hardy, low-maintenance, drought-tolerant, and fire-resistant succulent species (such as </w:t>
      </w:r>
      <w:r w:rsidDel="00000000" w:rsidR="00000000" w:rsidRPr="00000000">
        <w:rPr>
          <w:i w:val="1"/>
          <w:iCs w:val="1"/>
          <w:rtl w:val="0"/>
        </w:rPr>
        <w:t xml:space="preserve">Sedum</w:t>
      </w:r>
      <w:r w:rsidDel="00000000" w:rsidR="00000000" w:rsidRPr="00000000">
        <w:rPr>
          <w:rtl w:val="0"/>
        </w:rPr>
        <w:t xml:space="preserve"> varieties) capable of thriving in extreme rooftop conditions without synthetic fertilizers.</w:t>
      </w:r>
    </w:p>
    <w:p w:rsidR="00000000" w:rsidDel="00000000" w:rsidP="00000000" w:rsidRDefault="00000000" w:rsidRPr="00000000" w14:paraId="00000044">
      <w:pPr>
        <w:numPr>
          <w:ilvl w:val="0"/>
          <w:numId w:val="10"/>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Stormwater Retention Credit:</w:t>
      </w:r>
      <w:r w:rsidDel="00000000" w:rsidR="00000000" w:rsidRPr="00000000">
        <w:rPr>
          <w:rtl w:val="0"/>
        </w:rPr>
        <w:t xml:space="preserve"> Any acreage dedicated to a functioning green roof system may be credited at a 1:1 ratio against the </w:t>
      </w:r>
      <w:r w:rsidDel="00000000" w:rsidR="00000000" w:rsidRPr="00000000">
        <w:rPr>
          <w:b w:val="1"/>
          <w:bCs w:val="1"/>
          <w:rtl w:val="0"/>
        </w:rPr>
        <w:t xml:space="preserve">Total Site Greenspace</w:t>
      </w:r>
      <w:r w:rsidDel="00000000" w:rsidR="00000000" w:rsidRPr="00000000">
        <w:rPr>
          <w:rtl w:val="0"/>
        </w:rPr>
        <w:t xml:space="preserve"> allocation required under Subsection A of this Section.</w:t>
      </w:r>
    </w:p>
    <w:p w:rsidR="00000000" w:rsidDel="00000000" w:rsidP="00000000" w:rsidRDefault="00000000" w:rsidRPr="00000000" w14:paraId="00000045">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Section 5: Public, Human, and Animal Health Safeguards</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Focus Area</w:t>
            </w:r>
          </w:p>
        </w:tc>
        <w:tc>
          <w:tcPr>
            <w:shd w:fill="auto" w:val="clear"/>
            <w:tcMar>
              <w:top w:w="0.0" w:type="dxa"/>
              <w:left w:w="0.0" w:type="dxa"/>
              <w:bottom w:w="0.0" w:type="dxa"/>
              <w:right w:w="0.0" w:type="dxa"/>
            </w:tcMar>
            <w:vAlign w:val="top"/>
          </w:tcPr>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Requirement / Mitigation Standard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Electro-Magnetic Fields (EMF)</w:t>
            </w:r>
          </w:p>
        </w:tc>
        <w:tc>
          <w:tcPr>
            <w:shd w:fill="auto" w:val="clear"/>
            <w:tcMar>
              <w:top w:w="0.0" w:type="dxa"/>
              <w:left w:w="0.0" w:type="dxa"/>
              <w:bottom w:w="0.0" w:type="dxa"/>
              <w:right w:w="0.0" w:type="dxa"/>
            </w:tcMar>
            <w:vAlign w:val="top"/>
          </w:tcPr>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Substation and high-voltage transmission lines built for the facility must be placed underground or set back at least 300 feet from residential zones to limit prolonged EMF exposure.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Wildlife Corridors</w:t>
            </w:r>
          </w:p>
        </w:tc>
        <w:tc>
          <w:tcPr>
            <w:shd w:fill="auto" w:val="clear"/>
            <w:tcMar>
              <w:top w:w="0.0" w:type="dxa"/>
              <w:left w:w="0.0" w:type="dxa"/>
              <w:bottom w:w="0.0" w:type="dxa"/>
              <w:right w:w="0.0" w:type="dxa"/>
            </w:tcMar>
            <w:vAlign w:val="top"/>
          </w:tcPr>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Data centers are prohibited within designated migratory corridors. Perimeter fencing must use wildlife-friendly designs that prevent small and medium animals from becoming trapped while blocking access to high-voltage zones.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Light Pollution</w:t>
            </w:r>
          </w:p>
        </w:tc>
        <w:tc>
          <w:tcPr>
            <w:shd w:fill="auto" w:val="clear"/>
            <w:tcMar>
              <w:top w:w="0.0" w:type="dxa"/>
              <w:left w:w="0.0" w:type="dxa"/>
              <w:bottom w:w="0.0" w:type="dxa"/>
              <w:right w:w="0.0" w:type="dxa"/>
            </w:tcMar>
            <w:vAlign w:val="top"/>
          </w:tcPr>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All exterior lighting must be fully shielded, downward-facing, and utilize motion sensors (Dark Sky Compliant) to avoid disrupting human circadian rhythms and nocturnal wildlife behavior.</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Avian Safety</w:t>
            </w:r>
          </w:p>
        </w:tc>
        <w:tc>
          <w:tcPr>
            <w:shd w:fill="auto" w:val="clear"/>
            <w:tcMar>
              <w:top w:w="0.0" w:type="dxa"/>
              <w:left w:w="0.0" w:type="dxa"/>
              <w:bottom w:w="0.0" w:type="dxa"/>
              <w:right w:w="0.0" w:type="dxa"/>
            </w:tcMar>
            <w:vAlign w:val="top"/>
          </w:tcPr>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Exhaust plumes from massive cooling arrays must be angled away from flight paths, and all facility glass must feature bird-safe UV patterns to prevent fatal collisions.</w:t>
            </w:r>
          </w:p>
        </w:tc>
      </w:tr>
    </w:tbl>
    <w:p w:rsidR="00000000" w:rsidDel="00000000" w:rsidP="00000000" w:rsidRDefault="00000000" w:rsidRPr="00000000" w14:paraId="00000050">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Section 6: Enforcement, Violations, and Penalties</w:t>
      </w:r>
    </w:p>
    <w:p w:rsidR="00000000" w:rsidDel="00000000" w:rsidP="00000000" w:rsidRDefault="00000000" w:rsidRPr="00000000" w14:paraId="00000051">
      <w:pPr>
        <w:numPr>
          <w:ilvl w:val="0"/>
          <w:numId w:val="1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Continuous Monitoring:</w:t>
      </w:r>
      <w:r w:rsidDel="00000000" w:rsidR="00000000" w:rsidRPr="00000000">
        <w:rPr>
          <w:rtl w:val="0"/>
        </w:rPr>
        <w:t xml:space="preserve"> The operator must maintain continuous, real-time noise monitors at key property lines and water flow/quality meters at all discharge points. This data must be accessible via a public-facing digital portal managed by the municipality.</w:t>
      </w:r>
    </w:p>
    <w:p w:rsidR="00000000" w:rsidDel="00000000" w:rsidP="00000000" w:rsidRDefault="00000000" w:rsidRPr="00000000" w14:paraId="00000052">
      <w:pPr>
        <w:numPr>
          <w:ilvl w:val="0"/>
          <w:numId w:val="1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Fines and Shutdowns:</w:t>
      </w:r>
      <w:r w:rsidDel="00000000" w:rsidR="00000000" w:rsidRPr="00000000">
        <w:rPr>
          <w:rtl w:val="0"/>
        </w:rPr>
        <w:t xml:space="preserve"> Any violation of noise thresholds or illegal water discharge will result in an immediate fine of </w:t>
      </w:r>
      <w:r w:rsidDel="00000000" w:rsidR="00000000" w:rsidRPr="00000000">
        <w:rPr>
          <w:b w:val="1"/>
          <w:bCs w:val="1"/>
          <w:rtl w:val="0"/>
        </w:rPr>
        <w:t xml:space="preserve">$10,000 per day</w:t>
      </w:r>
      <w:r w:rsidDel="00000000" w:rsidR="00000000" w:rsidRPr="00000000">
        <w:rPr>
          <w:rtl w:val="0"/>
        </w:rPr>
        <w:t xml:space="preserve"> for the first offense. If the violation is not resolved within 72 hours, the municipality retains the right to issue a cease-and-desist order, revoking the facility's occupancy permit until compliance is verified.</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